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6875F3BB" w14:textId="11543279" w:rsidR="00B53A27" w:rsidRPr="00936D55" w:rsidRDefault="0047195D" w:rsidP="004719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Apoyo a Migrantes</w:t>
            </w:r>
          </w:p>
        </w:tc>
      </w:tr>
      <w:tr w:rsidR="00B53A27" w:rsidRPr="00936D55" w14:paraId="77CED2D0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5527ED7E" w14:textId="48A23C96" w:rsidR="00B53A27" w:rsidRPr="00936D55" w:rsidRDefault="0047195D" w:rsidP="004719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t>Secretaría de Educación Pública y Cultura (SEPyC)</w:t>
            </w:r>
          </w:p>
        </w:tc>
      </w:tr>
      <w:tr w:rsidR="00B53A27" w:rsidRPr="00936D55" w14:paraId="0D97458B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75BA77EA" w14:textId="06917517" w:rsidR="00B53A27" w:rsidRPr="00936D55" w:rsidRDefault="0047195D" w:rsidP="004719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47195D">
              <w:rPr>
                <w:rFonts w:asciiTheme="minorHAnsi" w:hAnsiTheme="minorHAnsi" w:cstheme="minorHAnsi"/>
              </w:rPr>
              <w:t>Departamento de Planeación y Programación de la Dirección de Planeación Educativa y Evaluación adscrita a la Subsecretaría de Planeación Educativa de la Secretaría de Educación Pública y Cultura</w:t>
            </w:r>
          </w:p>
        </w:tc>
      </w:tr>
      <w:tr w:rsidR="00B53A27" w:rsidRPr="00936D55" w14:paraId="5D32DA8A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8B830BF" w14:textId="43474410" w:rsidR="00B53A27" w:rsidRPr="00936D55" w:rsidRDefault="0047195D" w:rsidP="004719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B53A27" w:rsidRPr="00936D55" w14:paraId="5AC1B1FE" w14:textId="77777777" w:rsidTr="00511C17">
        <w:trPr>
          <w:trHeight w:val="340"/>
        </w:trPr>
        <w:tc>
          <w:tcPr>
            <w:tcW w:w="2518" w:type="dxa"/>
            <w:shd w:val="clear" w:color="auto" w:fill="661C33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9F9F9"/>
            <w:vAlign w:val="center"/>
          </w:tcPr>
          <w:p w14:paraId="4F5A6AD8" w14:textId="43BA1719" w:rsidR="00B53A27" w:rsidRPr="00936D55" w:rsidRDefault="0047195D" w:rsidP="0047195D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26"/>
        <w:gridCol w:w="2753"/>
        <w:gridCol w:w="2303"/>
      </w:tblGrid>
      <w:tr w:rsidR="00BD0258" w:rsidRPr="00BD0258" w14:paraId="144EB42F" w14:textId="77777777" w:rsidTr="0047195D">
        <w:trPr>
          <w:trHeight w:val="886"/>
          <w:tblHeader/>
        </w:trPr>
        <w:tc>
          <w:tcPr>
            <w:tcW w:w="1942" w:type="dxa"/>
            <w:shd w:val="clear" w:color="auto" w:fill="661C33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26" w:type="dxa"/>
            <w:shd w:val="clear" w:color="auto" w:fill="661C33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53" w:type="dxa"/>
            <w:shd w:val="clear" w:color="auto" w:fill="661C33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3" w:type="dxa"/>
            <w:shd w:val="clear" w:color="auto" w:fill="661C33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2A5E14" w:rsidRPr="00936D55" w14:paraId="3F02C46D" w14:textId="77777777" w:rsidTr="002A5E14">
        <w:trPr>
          <w:trHeight w:val="2211"/>
        </w:trPr>
        <w:tc>
          <w:tcPr>
            <w:tcW w:w="1942" w:type="dxa"/>
            <w:vAlign w:val="center"/>
          </w:tcPr>
          <w:p w14:paraId="70425297" w14:textId="27D32131" w:rsidR="002A5E14" w:rsidRPr="00936D55" w:rsidRDefault="002A5E14" w:rsidP="002A5E1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2A5E14" w:rsidRPr="00D02A3D" w:rsidRDefault="002A5E14" w:rsidP="002A5E1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26" w:type="dxa"/>
            <w:vAlign w:val="center"/>
          </w:tcPr>
          <w:p w14:paraId="36CFBCCD" w14:textId="36B845DD" w:rsidR="002A5E14" w:rsidRPr="00936D55" w:rsidRDefault="002A5E14" w:rsidP="002A5E1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rFonts w:asciiTheme="minorHAnsi" w:hAnsiTheme="minorHAnsi" w:cstheme="minorHAnsi"/>
                <w:sz w:val="20"/>
                <w:szCs w:val="20"/>
              </w:rPr>
              <w:t>La modalidad presupuestaria “S” es congruente con el mecanismo de intervención y con las Reglas de Operación federales.</w:t>
            </w:r>
          </w:p>
        </w:tc>
        <w:tc>
          <w:tcPr>
            <w:tcW w:w="2753" w:type="dxa"/>
            <w:vAlign w:val="center"/>
          </w:tcPr>
          <w:p w14:paraId="5A8AE607" w14:textId="3826F5BF" w:rsidR="002A5E14" w:rsidRPr="002A5E14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E14">
              <w:rPr>
                <w:rFonts w:asciiTheme="minorHAnsi" w:hAnsiTheme="minorHAnsi" w:cstheme="minorHAnsi"/>
                <w:sz w:val="20"/>
                <w:szCs w:val="20"/>
              </w:rPr>
              <w:t>Las Reglas de Operación Estatales del Programa Apoyo a Migrantes están en proceso de aprobación y publicación de parte de la Subsecretaria de Asuntos Jurídicos del Gobierno del Estado.</w:t>
            </w:r>
          </w:p>
        </w:tc>
        <w:tc>
          <w:tcPr>
            <w:tcW w:w="2303" w:type="dxa"/>
            <w:vAlign w:val="center"/>
          </w:tcPr>
          <w:p w14:paraId="1DA7876B" w14:textId="18E7CF6E" w:rsidR="002A5E14" w:rsidRPr="0047195D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sz w:val="20"/>
                <w:szCs w:val="20"/>
              </w:rPr>
              <w:t>Consolidar lineamientos estatales complementarios que fortalezcan la operación local del programa.</w:t>
            </w:r>
          </w:p>
        </w:tc>
      </w:tr>
      <w:tr w:rsidR="002A5E14" w:rsidRPr="00936D55" w14:paraId="4D3DAD0C" w14:textId="77777777" w:rsidTr="002A5E14">
        <w:trPr>
          <w:trHeight w:val="1979"/>
        </w:trPr>
        <w:tc>
          <w:tcPr>
            <w:tcW w:w="1942" w:type="dxa"/>
            <w:vAlign w:val="center"/>
          </w:tcPr>
          <w:p w14:paraId="6EBB4888" w14:textId="77777777" w:rsidR="002A5E14" w:rsidRPr="00936D55" w:rsidRDefault="002A5E14" w:rsidP="002A5E1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2A5E14" w:rsidRPr="00D02A3D" w:rsidRDefault="002A5E14" w:rsidP="002A5E1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26" w:type="dxa"/>
            <w:vAlign w:val="center"/>
          </w:tcPr>
          <w:p w14:paraId="07DCA505" w14:textId="2DAEC2EA" w:rsidR="002A5E14" w:rsidRPr="00936D55" w:rsidRDefault="002A5E14" w:rsidP="002A5E1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rFonts w:asciiTheme="minorHAnsi" w:hAnsiTheme="minorHAnsi" w:cstheme="minorHAnsi"/>
                <w:sz w:val="20"/>
                <w:szCs w:val="20"/>
              </w:rPr>
              <w:t>Los procedimientos operativos consideran las características de la población migrante y la movilidad de los beneficiarios.</w:t>
            </w:r>
          </w:p>
        </w:tc>
        <w:tc>
          <w:tcPr>
            <w:tcW w:w="2753" w:type="dxa"/>
            <w:vAlign w:val="center"/>
          </w:tcPr>
          <w:p w14:paraId="36B3706E" w14:textId="49AE6BD7" w:rsidR="002A5E14" w:rsidRPr="002A5E14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E14">
              <w:rPr>
                <w:rFonts w:asciiTheme="minorHAnsi" w:hAnsiTheme="minorHAnsi" w:cstheme="minorHAnsi"/>
                <w:sz w:val="20"/>
                <w:szCs w:val="20"/>
              </w:rPr>
              <w:t>Se elaborará un manual de procedimientos operativos estandarizado del Programa Apoyo a Migrantes</w:t>
            </w:r>
          </w:p>
        </w:tc>
        <w:tc>
          <w:tcPr>
            <w:tcW w:w="2303" w:type="dxa"/>
            <w:vAlign w:val="center"/>
          </w:tcPr>
          <w:p w14:paraId="1CED0DF8" w14:textId="6D5DCAA8" w:rsidR="002A5E14" w:rsidRPr="0047195D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sz w:val="20"/>
                <w:szCs w:val="20"/>
              </w:rPr>
              <w:t>Formalizar manuales de procedimientos y diagramas de flujo conforme a metodologías institucionales.</w:t>
            </w:r>
          </w:p>
        </w:tc>
      </w:tr>
      <w:tr w:rsidR="002A5E14" w:rsidRPr="00936D55" w14:paraId="6202F808" w14:textId="77777777" w:rsidTr="002A5E14">
        <w:trPr>
          <w:trHeight w:val="1965"/>
        </w:trPr>
        <w:tc>
          <w:tcPr>
            <w:tcW w:w="1942" w:type="dxa"/>
            <w:vAlign w:val="center"/>
          </w:tcPr>
          <w:p w14:paraId="2FCCAB4C" w14:textId="77777777" w:rsidR="002A5E14" w:rsidRPr="00936D55" w:rsidRDefault="002A5E14" w:rsidP="002A5E1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2A5E14" w:rsidRPr="00D02A3D" w:rsidRDefault="002A5E14" w:rsidP="002A5E1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26" w:type="dxa"/>
            <w:vAlign w:val="center"/>
          </w:tcPr>
          <w:p w14:paraId="4C3DA5D5" w14:textId="39D10C28" w:rsidR="002A5E14" w:rsidRPr="00861D0A" w:rsidRDefault="002A5E14" w:rsidP="002A5E1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rFonts w:asciiTheme="minorHAnsi" w:hAnsiTheme="minorHAnsi" w:cstheme="minorHAnsi"/>
                <w:sz w:val="20"/>
                <w:szCs w:val="20"/>
              </w:rPr>
              <w:t>El programa publica información relacionada con contratación docente y seguimiento administrativo en plataformas oficiales.</w:t>
            </w:r>
          </w:p>
        </w:tc>
        <w:tc>
          <w:tcPr>
            <w:tcW w:w="2753" w:type="dxa"/>
            <w:vAlign w:val="center"/>
          </w:tcPr>
          <w:p w14:paraId="740FC487" w14:textId="436BED93" w:rsidR="002A5E14" w:rsidRPr="002A5E14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E14">
              <w:rPr>
                <w:rFonts w:asciiTheme="minorHAnsi" w:hAnsiTheme="minorHAnsi" w:cstheme="minorHAnsi"/>
                <w:sz w:val="20"/>
                <w:szCs w:val="20"/>
              </w:rPr>
              <w:t>Se gestionará la publicación relativa al Programa Apoyo a Migrantes en portal oficial de SEPyC</w:t>
            </w:r>
          </w:p>
        </w:tc>
        <w:tc>
          <w:tcPr>
            <w:tcW w:w="2303" w:type="dxa"/>
            <w:vAlign w:val="center"/>
          </w:tcPr>
          <w:p w14:paraId="1BF35B51" w14:textId="750326FE" w:rsidR="002A5E14" w:rsidRPr="0047195D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sz w:val="20"/>
                <w:szCs w:val="20"/>
              </w:rPr>
              <w:t>Incrementar la publicación de información financiera, operativa y de resultados en formatos abiertos y accesibles.</w:t>
            </w:r>
          </w:p>
        </w:tc>
      </w:tr>
      <w:tr w:rsidR="002A5E14" w:rsidRPr="00936D55" w14:paraId="64793FF7" w14:textId="77777777" w:rsidTr="002A5E14">
        <w:trPr>
          <w:trHeight w:val="2098"/>
        </w:trPr>
        <w:tc>
          <w:tcPr>
            <w:tcW w:w="1942" w:type="dxa"/>
            <w:vAlign w:val="center"/>
          </w:tcPr>
          <w:p w14:paraId="539FD3CA" w14:textId="77777777" w:rsidR="002A5E14" w:rsidRPr="00936D55" w:rsidRDefault="002A5E14" w:rsidP="002A5E1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BFE9042" w14:textId="0034C14C" w:rsidR="002A5E14" w:rsidRPr="0047195D" w:rsidRDefault="002A5E14" w:rsidP="002A5E14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226" w:type="dxa"/>
            <w:vAlign w:val="center"/>
          </w:tcPr>
          <w:p w14:paraId="4FF11C47" w14:textId="04E75891" w:rsidR="002A5E14" w:rsidRPr="00861D0A" w:rsidRDefault="002A5E14" w:rsidP="002A5E1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rFonts w:asciiTheme="minorHAnsi" w:hAnsiTheme="minorHAnsi" w:cstheme="minorHAnsi"/>
                <w:sz w:val="20"/>
                <w:szCs w:val="20"/>
              </w:rPr>
              <w:t>El programa no cuenta con Reglas de Operación estatales propias formalmente emitidas.</w:t>
            </w:r>
          </w:p>
        </w:tc>
        <w:tc>
          <w:tcPr>
            <w:tcW w:w="2753" w:type="dxa"/>
            <w:vAlign w:val="center"/>
          </w:tcPr>
          <w:p w14:paraId="6FD6A3A3" w14:textId="1E85EB68" w:rsidR="002A5E14" w:rsidRPr="002A5E14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E14">
              <w:rPr>
                <w:rFonts w:asciiTheme="minorHAnsi" w:hAnsiTheme="minorHAnsi" w:cstheme="minorHAnsi"/>
                <w:sz w:val="20"/>
                <w:szCs w:val="20"/>
              </w:rPr>
              <w:t>Se está en espera de la aprobación y publicación de las Reglas de Operación del Programa Apoyo Migrante por parte de la Subsecretaria de Asuntos Jurídicos del Gobierno del Estado.</w:t>
            </w:r>
          </w:p>
        </w:tc>
        <w:tc>
          <w:tcPr>
            <w:tcW w:w="2303" w:type="dxa"/>
            <w:vAlign w:val="center"/>
          </w:tcPr>
          <w:p w14:paraId="185087DF" w14:textId="1C1FF0D4" w:rsidR="002A5E14" w:rsidRPr="0047195D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sz w:val="20"/>
                <w:szCs w:val="20"/>
              </w:rPr>
              <w:t>Elaborar y formalizar lineamientos operativos estatales complementarios alineados a las ROP federales.</w:t>
            </w:r>
          </w:p>
        </w:tc>
      </w:tr>
      <w:tr w:rsidR="002A5E14" w:rsidRPr="00936D55" w14:paraId="657850D1" w14:textId="77777777" w:rsidTr="002A5E14">
        <w:trPr>
          <w:trHeight w:val="1893"/>
        </w:trPr>
        <w:tc>
          <w:tcPr>
            <w:tcW w:w="1942" w:type="dxa"/>
            <w:vAlign w:val="center"/>
          </w:tcPr>
          <w:p w14:paraId="75919F62" w14:textId="77777777" w:rsidR="002A5E14" w:rsidRPr="00936D55" w:rsidRDefault="002A5E14" w:rsidP="002A5E1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7E754381" w14:textId="1F70F532" w:rsidR="002A5E14" w:rsidRPr="0047195D" w:rsidRDefault="002A5E14" w:rsidP="002A5E1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19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26" w:type="dxa"/>
            <w:vAlign w:val="center"/>
          </w:tcPr>
          <w:p w14:paraId="73ABAC70" w14:textId="2F136DE5" w:rsidR="002A5E14" w:rsidRPr="00861D0A" w:rsidRDefault="002A5E14" w:rsidP="002A5E1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rFonts w:asciiTheme="minorHAnsi" w:hAnsiTheme="minorHAnsi" w:cstheme="minorHAnsi"/>
                <w:sz w:val="20"/>
                <w:szCs w:val="20"/>
              </w:rPr>
              <w:t>No existe una estrategia integral de cobertura documentada con proyecciones presupuestarias multianuales.</w:t>
            </w:r>
          </w:p>
        </w:tc>
        <w:tc>
          <w:tcPr>
            <w:tcW w:w="2753" w:type="dxa"/>
            <w:vAlign w:val="center"/>
          </w:tcPr>
          <w:p w14:paraId="1C033934" w14:textId="12A4C7CE" w:rsidR="002A5E14" w:rsidRPr="002A5E14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E14">
              <w:rPr>
                <w:rFonts w:asciiTheme="minorHAnsi" w:hAnsiTheme="minorHAnsi" w:cstheme="minorHAnsi"/>
                <w:sz w:val="20"/>
                <w:szCs w:val="20"/>
              </w:rPr>
              <w:t>Difundir el beneficio del programa ante los beneficiarios potenciales.</w:t>
            </w:r>
          </w:p>
        </w:tc>
        <w:tc>
          <w:tcPr>
            <w:tcW w:w="2303" w:type="dxa"/>
            <w:vAlign w:val="center"/>
          </w:tcPr>
          <w:p w14:paraId="42B644C0" w14:textId="4E8E4D9B" w:rsidR="002A5E14" w:rsidRPr="0047195D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sz w:val="20"/>
                <w:szCs w:val="20"/>
              </w:rPr>
              <w:t>Diseñar una estrategia de cobertura que incluya metas, evolución poblacional y requerimientos presupuestarios.</w:t>
            </w:r>
          </w:p>
        </w:tc>
      </w:tr>
      <w:tr w:rsidR="002A5E14" w:rsidRPr="00936D55" w14:paraId="444F0A5C" w14:textId="77777777" w:rsidTr="002A5E14">
        <w:trPr>
          <w:trHeight w:val="2813"/>
        </w:trPr>
        <w:tc>
          <w:tcPr>
            <w:tcW w:w="1942" w:type="dxa"/>
            <w:vAlign w:val="center"/>
          </w:tcPr>
          <w:p w14:paraId="6C833E79" w14:textId="77777777" w:rsidR="002A5E14" w:rsidRPr="00936D55" w:rsidRDefault="002A5E14" w:rsidP="002A5E1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41B1245" w14:textId="0093DB0C" w:rsidR="002A5E14" w:rsidRPr="0047195D" w:rsidRDefault="002A5E14" w:rsidP="002A5E1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26" w:type="dxa"/>
            <w:vAlign w:val="center"/>
          </w:tcPr>
          <w:p w14:paraId="4D98C851" w14:textId="18C56B04" w:rsidR="002A5E14" w:rsidRPr="00861D0A" w:rsidRDefault="002A5E14" w:rsidP="002A5E1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rFonts w:asciiTheme="minorHAnsi" w:hAnsiTheme="minorHAnsi" w:cstheme="minorHAnsi"/>
                <w:sz w:val="20"/>
                <w:szCs w:val="20"/>
              </w:rPr>
              <w:t>No se identificaron mecanismos formales de participación ciudadana en la toma de decisiones del programa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  <w:r w:rsidRPr="0047195D">
              <w:rPr>
                <w:rFonts w:asciiTheme="minorHAnsi" w:hAnsiTheme="minorHAnsi" w:cstheme="minorHAnsi"/>
                <w:sz w:val="20"/>
                <w:szCs w:val="20"/>
              </w:rPr>
              <w:t>No existen instrumentos formales para medir la satisfacción de la población atendida.</w:t>
            </w:r>
          </w:p>
        </w:tc>
        <w:tc>
          <w:tcPr>
            <w:tcW w:w="2753" w:type="dxa"/>
            <w:vAlign w:val="center"/>
          </w:tcPr>
          <w:p w14:paraId="7949B0F3" w14:textId="5691E733" w:rsidR="002A5E14" w:rsidRPr="002A5E14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A5E14">
              <w:rPr>
                <w:rFonts w:asciiTheme="minorHAnsi" w:hAnsiTheme="minorHAnsi" w:cstheme="minorHAnsi"/>
                <w:sz w:val="20"/>
                <w:szCs w:val="20"/>
              </w:rPr>
              <w:t>Se impulsará la aplicación de encuestas de satisfacción a los beneficiarios directos.</w:t>
            </w:r>
          </w:p>
        </w:tc>
        <w:tc>
          <w:tcPr>
            <w:tcW w:w="2303" w:type="dxa"/>
            <w:vAlign w:val="center"/>
          </w:tcPr>
          <w:p w14:paraId="1B165F34" w14:textId="368470A5" w:rsidR="002A5E14" w:rsidRPr="0047195D" w:rsidRDefault="002A5E14" w:rsidP="002A5E1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195D">
              <w:rPr>
                <w:sz w:val="20"/>
                <w:szCs w:val="20"/>
              </w:rPr>
              <w:t>Diseñar e implementar mecanismos de consulta y participación con actores escolares y población beneficiaria, así como encuestas e instrumentos de satisfacción dirigidos a beneficiarios y actores operativos.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511C17">
        <w:trPr>
          <w:trHeight w:val="340"/>
        </w:trPr>
        <w:tc>
          <w:tcPr>
            <w:tcW w:w="9215" w:type="dxa"/>
            <w:shd w:val="clear" w:color="auto" w:fill="661C33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ED0D25E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47195D">
        <w:rPr>
          <w:rFonts w:asciiTheme="minorHAnsi" w:hAnsiTheme="minorHAnsi" w:cstheme="minorHAnsi"/>
          <w:sz w:val="20"/>
          <w:szCs w:val="24"/>
        </w:rPr>
        <w:t xml:space="preserve">Se considera que el Informe de la Evaluación de </w:t>
      </w:r>
      <w:r w:rsidR="008C702A" w:rsidRPr="0047195D">
        <w:rPr>
          <w:rFonts w:asciiTheme="minorHAnsi" w:hAnsiTheme="minorHAnsi" w:cstheme="minorHAnsi"/>
          <w:sz w:val="20"/>
          <w:szCs w:val="24"/>
        </w:rPr>
        <w:t>Consistencia y Resultados</w:t>
      </w:r>
      <w:r w:rsidRPr="0047195D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511C17">
        <w:trPr>
          <w:trHeight w:val="340"/>
        </w:trPr>
        <w:tc>
          <w:tcPr>
            <w:tcW w:w="9355" w:type="dxa"/>
            <w:shd w:val="clear" w:color="auto" w:fill="661C33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5DD2FA2C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El programa cuenta con una MIR y fichas técnicas alineadas al objetivo de atención educativa de población migrante.</w:t>
      </w:r>
    </w:p>
    <w:p w14:paraId="01D44EB1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La modalidad presupuestaria “S” es congruente con el mecanismo de intervención y con las Reglas de Operación federales.</w:t>
      </w:r>
    </w:p>
    <w:p w14:paraId="48DB9492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El programa identifica y define su población potencial, objetivo y atendida mediante registros institucionales y claves de centros de trabajo.</w:t>
      </w:r>
    </w:p>
    <w:p w14:paraId="2ADF8EB1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Existen metas e indicadores orientados al seguimiento de cobertura educativa y contratación docente.</w:t>
      </w:r>
    </w:p>
    <w:p w14:paraId="5D71EB20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El programa cuenta con seguimiento a Aspectos Susceptibles de Mejora (ASM) y evidencia de atención a recomendaciones derivadas de evaluaciones.</w:t>
      </w:r>
    </w:p>
    <w:p w14:paraId="765607C2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Los procedimientos operativos consideran las características de la población migrante y la movilidad de los beneficiarios.</w:t>
      </w:r>
    </w:p>
    <w:p w14:paraId="5D749536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Existe coordinación con sistemas institucionales como Control Escolar Estatal, Departamento de Estadística y plataformas de transparencia.</w:t>
      </w:r>
    </w:p>
    <w:p w14:paraId="5C8D1CA5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El programa publica información relacionada con contratación docente y seguimiento administrativo en plataformas oficiales.</w:t>
      </w:r>
    </w:p>
    <w:p w14:paraId="2C90D297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lastRenderedPageBreak/>
        <w:t>La mayoría de los indicadores estratégicos y de gestión presentan avances satisfactorios respecto a las metas programadas.</w:t>
      </w:r>
    </w:p>
    <w:p w14:paraId="4AEBACDE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El programa contribuye al fortalecimiento de la cobertura educativa en zonas agrícolas con atención a población migrante.</w:t>
      </w:r>
    </w:p>
    <w:p w14:paraId="787FDD66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El programa no cuenta con Reglas de Operación estatales propias formalmente emitidas.</w:t>
      </w:r>
    </w:p>
    <w:p w14:paraId="5C5D8298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No existe una estrategia integral de cobertura documentada con proyecciones presupuestarias multianuales.</w:t>
      </w:r>
    </w:p>
    <w:p w14:paraId="0A67FAD5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No se cuenta con evaluaciones de impacto ni seguimiento longitudinal de la población atendida.</w:t>
      </w:r>
    </w:p>
    <w:p w14:paraId="520E6949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La información de desempeño se concentra en indicadores operativos y de cobertura.</w:t>
      </w:r>
    </w:p>
    <w:p w14:paraId="0DEA004C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No se presentó evidencia suficiente de manuales integrales de procedimientos estandarizados.</w:t>
      </w:r>
    </w:p>
    <w:p w14:paraId="651A10DD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Existen desfases y discrepancias entre sistemas de información institucionales debido a la movilidad de la población migrante.</w:t>
      </w:r>
    </w:p>
    <w:p w14:paraId="3405E366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El reclutamiento y permanencia de docentes representa un reto operativo recurrente.</w:t>
      </w:r>
    </w:p>
    <w:p w14:paraId="60F19638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No se identificaron mecanismos formales de participación ciudadana en la toma de decisiones del programa.</w:t>
      </w:r>
    </w:p>
    <w:p w14:paraId="2F1CDE34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No se presentó evidencia suficiente sobre publicación integral de información financiera específica del programa.</w:t>
      </w:r>
    </w:p>
    <w:p w14:paraId="01852E09" w14:textId="77777777" w:rsidR="0047195D" w:rsidRPr="0047195D" w:rsidRDefault="0047195D" w:rsidP="0047195D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47195D">
        <w:rPr>
          <w:rFonts w:asciiTheme="minorHAnsi" w:hAnsiTheme="minorHAnsi" w:cstheme="minorHAnsi"/>
          <w:sz w:val="20"/>
          <w:szCs w:val="20"/>
        </w:rPr>
        <w:t>No existen instrumentos formales para medir la satisfacción de la población atendida.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6424E4D8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47195D">
        <w:rPr>
          <w:rFonts w:asciiTheme="minorHAnsi" w:hAnsiTheme="minorHAnsi" w:cstheme="minorHAnsi"/>
          <w:bCs/>
          <w:sz w:val="20"/>
          <w:szCs w:val="20"/>
          <w:lang w:val="es-ES"/>
        </w:rPr>
        <w:t>5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B53A27" w:rsidRDefault="00B53A27" w:rsidP="00B53A27">
    <w:pPr>
      <w:ind w:left="3828"/>
      <w:jc w:val="right"/>
      <w:rPr>
        <w:rFonts w:ascii="Medium" w:hAnsi="Medium" w:cs="Arial"/>
        <w:b/>
        <w:color w:val="651D32"/>
        <w:sz w:val="26"/>
        <w:szCs w:val="26"/>
      </w:rPr>
    </w:pPr>
    <w:r>
      <w:rPr>
        <w:rFonts w:ascii="Medium" w:hAnsi="Medium" w:cs="Arial"/>
        <w:b/>
        <w:noProof/>
        <w:color w:val="651D32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Medium" w:hAnsi="Medium" w:cs="Arial"/>
        <w:b/>
        <w:color w:val="651D32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511C17" w:rsidRDefault="00B53A27" w:rsidP="00B53A27">
    <w:pPr>
      <w:ind w:left="3828"/>
      <w:jc w:val="right"/>
      <w:rPr>
        <w:rFonts w:ascii="Medium" w:hAnsi="Medium" w:cs="Arial"/>
        <w:b/>
        <w:color w:val="661C33"/>
        <w:sz w:val="26"/>
        <w:szCs w:val="26"/>
      </w:rPr>
    </w:pPr>
    <w:r w:rsidRPr="00511C17">
      <w:rPr>
        <w:rFonts w:ascii="Medium" w:hAnsi="Medium" w:cs="Arial"/>
        <w:b/>
        <w:noProof/>
        <w:color w:val="661C33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11C17">
      <w:rPr>
        <w:rFonts w:ascii="Medium" w:hAnsi="Medium" w:cs="Arial"/>
        <w:b/>
        <w:color w:val="661C33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664998">
    <w:abstractNumId w:val="0"/>
  </w:num>
  <w:num w:numId="2" w16cid:durableId="1490633615">
    <w:abstractNumId w:val="1"/>
  </w:num>
  <w:num w:numId="3" w16cid:durableId="677000337">
    <w:abstractNumId w:val="3"/>
  </w:num>
  <w:num w:numId="4" w16cid:durableId="448856411">
    <w:abstractNumId w:val="2"/>
  </w:num>
  <w:num w:numId="5" w16cid:durableId="114565655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A5E14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195D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11C17"/>
    <w:rsid w:val="00512DF5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4C74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D591D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25D5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564F-4BB4-4727-A85E-86720E11F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892</Words>
  <Characters>4911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10</cp:revision>
  <cp:lastPrinted>2021-10-18T17:24:00Z</cp:lastPrinted>
  <dcterms:created xsi:type="dcterms:W3CDTF">2022-12-15T17:02:00Z</dcterms:created>
  <dcterms:modified xsi:type="dcterms:W3CDTF">2026-06-03T21:13:00Z</dcterms:modified>
</cp:coreProperties>
</file>